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Svalöv kommunfullmäktige</w:t>
      </w:r>
    </w:p>
    <w:p>
      <w:pPr>
        <w:pStyle w:val="Heading1"/>
      </w:pPr>
      <w:r>
        <w:t xml:space="preserve">Utbyggnad av säkra cykelvägar mellan tätorterna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Svalöv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 pekar på bristande cykelinfrastruktur som hinder för hållbar pendling i Svalöv. Ökad cykling minskar bilberoende och förbättrar folkhälsan. Prioriterade sträckor är Svalöv–Teckomatorp.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Svalöv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avsätta medel för cykelväg mellan Svalöv och Teckomatorp under budget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ta fram en cykelplan med prioriterade sträckor senast december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ansöka om statligt stöd via Trafikverket för cykelinvesteringar.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cykeltrafikens andel årligen från 2027.</w:t>
      </w:r>
    </w:p>
    <w:p>
      <w:pPr>
        <w:spacing w:before="360"/>
      </w:pPr>
    </w:p>
    <w:p>
      <w:r>
        <w:t xml:space="preserve">Svalöv,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Svalöv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2026-07-14T05:13:04.960Z</dcterms:created>
  <dcterms:modified xsi:type="dcterms:W3CDTF">2026-07-14T05:13:04.960Z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